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621"/>
        <w:gridCol w:w="4264"/>
      </w:tblGrid>
      <w:tr w:rsidR="006258A3" w14:paraId="54622E0B" w14:textId="77777777" w:rsidTr="0033321D">
        <w:trPr>
          <w:trHeight w:val="255"/>
        </w:trPr>
        <w:tc>
          <w:tcPr>
            <w:tcW w:w="6621" w:type="dxa"/>
          </w:tcPr>
          <w:p w14:paraId="58F08526" w14:textId="77777777" w:rsidR="006258A3" w:rsidRDefault="006258A3" w:rsidP="006258A3">
            <w:r>
              <w:rPr>
                <w:noProof/>
              </w:rPr>
              <w:drawing>
                <wp:inline distT="0" distB="0" distL="0" distR="0" wp14:anchorId="7366A468" wp14:editId="43BE2C15">
                  <wp:extent cx="3638550" cy="792318"/>
                  <wp:effectExtent l="0" t="0" r="0" b="8255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shine Insurance Logo - Full Color Hori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207" cy="80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tcBorders>
              <w:bottom w:val="nil"/>
            </w:tcBorders>
          </w:tcPr>
          <w:p w14:paraId="08F32824" w14:textId="5C493170" w:rsidR="00835448" w:rsidRPr="0002710F" w:rsidRDefault="00835448" w:rsidP="0000438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2710F">
              <w:rPr>
                <w:b/>
                <w:color w:val="0070C0"/>
                <w:sz w:val="28"/>
                <w:szCs w:val="28"/>
              </w:rPr>
              <w:t>OUR VISION</w:t>
            </w:r>
          </w:p>
          <w:p w14:paraId="1E30E231" w14:textId="497E45CE" w:rsidR="006258A3" w:rsidRDefault="00835448" w:rsidP="00E230B7">
            <w:pPr>
              <w:jc w:val="center"/>
            </w:pPr>
            <w:r>
              <w:t xml:space="preserve">Deliver Unparalleled Service and Expertise with the focus of providing sound financial protection and peace of mind to our clients.                               </w:t>
            </w:r>
            <w:r>
              <w:rPr>
                <w:noProof/>
              </w:rPr>
              <w:t xml:space="preserve"> </w:t>
            </w:r>
          </w:p>
        </w:tc>
      </w:tr>
      <w:tr w:rsidR="006258A3" w14:paraId="602B0D1A" w14:textId="77777777" w:rsidTr="0033321D">
        <w:trPr>
          <w:trHeight w:val="255"/>
        </w:trPr>
        <w:tc>
          <w:tcPr>
            <w:tcW w:w="6621" w:type="dxa"/>
          </w:tcPr>
          <w:p w14:paraId="558D3755" w14:textId="46D609A0" w:rsidR="006258A3" w:rsidRPr="007F2F89" w:rsidRDefault="0062568D" w:rsidP="006258A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2745 W. Hillsboro Blvd, Ste #1</w:t>
            </w:r>
            <w:r w:rsidR="0020504B">
              <w:rPr>
                <w:noProof/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</w:rPr>
              <w:t>Deerfield Beach, FL  33442</w:t>
            </w:r>
          </w:p>
          <w:p w14:paraId="389D15B6" w14:textId="42BDAE16" w:rsidR="007F2F89" w:rsidRPr="007F2F89" w:rsidRDefault="007F2F89" w:rsidP="007F2F89">
            <w:pPr>
              <w:rPr>
                <w:rFonts w:eastAsiaTheme="minorEastAsia"/>
                <w:noProof/>
                <w:sz w:val="24"/>
                <w:szCs w:val="24"/>
              </w:rPr>
            </w:pPr>
            <w:r w:rsidRPr="007F2F89">
              <w:rPr>
                <w:rFonts w:eastAsiaTheme="minorEastAsia"/>
                <w:noProof/>
                <w:sz w:val="24"/>
                <w:szCs w:val="24"/>
              </w:rPr>
              <w:t>Office:  754-444-2782 or 561-444-9530</w:t>
            </w:r>
            <w:r w:rsidR="00210DCC">
              <w:rPr>
                <w:rFonts w:eastAsiaTheme="minorEastAsia"/>
                <w:noProof/>
                <w:sz w:val="24"/>
                <w:szCs w:val="24"/>
              </w:rPr>
              <w:t xml:space="preserve">, </w:t>
            </w:r>
            <w:r w:rsidRPr="007F2F89">
              <w:rPr>
                <w:rFonts w:eastAsiaTheme="minorEastAsia"/>
                <w:noProof/>
                <w:sz w:val="24"/>
                <w:szCs w:val="24"/>
              </w:rPr>
              <w:t>Cell 786-208-1221</w:t>
            </w:r>
          </w:p>
          <w:p w14:paraId="7D56BCD5" w14:textId="108192B2" w:rsidR="007F2F89" w:rsidRDefault="007F2F89" w:rsidP="006258A3">
            <w:pPr>
              <w:rPr>
                <w:noProof/>
              </w:rPr>
            </w:pPr>
            <w:r w:rsidRPr="007F2F89">
              <w:rPr>
                <w:rFonts w:eastAsiaTheme="minorEastAsia"/>
                <w:noProof/>
                <w:sz w:val="24"/>
                <w:szCs w:val="24"/>
              </w:rPr>
              <w:t xml:space="preserve">Website:   </w:t>
            </w:r>
            <w:r w:rsidR="003B498A">
              <w:rPr>
                <w:rFonts w:eastAsiaTheme="minorEastAsia"/>
                <w:noProof/>
                <w:sz w:val="24"/>
                <w:szCs w:val="24"/>
              </w:rPr>
              <w:t>https://</w:t>
            </w:r>
            <w:r w:rsidR="00745AAA">
              <w:rPr>
                <w:rFonts w:eastAsiaTheme="minorEastAsia"/>
                <w:noProof/>
                <w:sz w:val="24"/>
                <w:szCs w:val="24"/>
              </w:rPr>
              <w:t>sunshineinsurance.agency</w:t>
            </w:r>
          </w:p>
          <w:p w14:paraId="03972FCB" w14:textId="206BF769" w:rsidR="006258A3" w:rsidRDefault="00333A7F" w:rsidP="006258A3">
            <w:pPr>
              <w:rPr>
                <w:noProof/>
              </w:rPr>
            </w:pPr>
            <w:r>
              <w:rPr>
                <w:noProof/>
              </w:rPr>
              <w:t xml:space="preserve">LinkedIn:  </w:t>
            </w:r>
            <w:r w:rsidRPr="00333A7F">
              <w:rPr>
                <w:noProof/>
              </w:rPr>
              <w:t>https://www.linkedin.com/in/darleneswaffar</w:t>
            </w:r>
          </w:p>
        </w:tc>
        <w:tc>
          <w:tcPr>
            <w:tcW w:w="4264" w:type="dxa"/>
            <w:tcBorders>
              <w:top w:val="nil"/>
              <w:bottom w:val="nil"/>
            </w:tcBorders>
          </w:tcPr>
          <w:p w14:paraId="73C4ADC2" w14:textId="77777777" w:rsidR="00835448" w:rsidRPr="0002710F" w:rsidRDefault="00835448" w:rsidP="0083544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2710F">
              <w:rPr>
                <w:b/>
                <w:color w:val="0070C0"/>
                <w:sz w:val="28"/>
                <w:szCs w:val="28"/>
              </w:rPr>
              <w:t>COMPANY INFORMATION</w:t>
            </w:r>
          </w:p>
          <w:p w14:paraId="7EED0350" w14:textId="1D13B8DD" w:rsidR="00835448" w:rsidRDefault="00835448" w:rsidP="006258A3">
            <w:r>
              <w:t>EIN:</w:t>
            </w:r>
            <w:r w:rsidR="005E0938">
              <w:t xml:space="preserve">         82-1517382</w:t>
            </w:r>
          </w:p>
          <w:p w14:paraId="25C5D908" w14:textId="1CF619C0" w:rsidR="00835448" w:rsidRDefault="00835448" w:rsidP="006258A3">
            <w:r>
              <w:t>DUNS:</w:t>
            </w:r>
            <w:r w:rsidR="005E0938">
              <w:t xml:space="preserve">    012599582</w:t>
            </w:r>
          </w:p>
          <w:p w14:paraId="5A112E53" w14:textId="5DAFAD25" w:rsidR="00835448" w:rsidRDefault="00835448" w:rsidP="0033321D">
            <w:r>
              <w:t>NAICS CODES:</w:t>
            </w:r>
          </w:p>
        </w:tc>
      </w:tr>
      <w:tr w:rsidR="007F2F89" w14:paraId="76877F0B" w14:textId="77777777" w:rsidTr="0033321D">
        <w:trPr>
          <w:trHeight w:val="255"/>
        </w:trPr>
        <w:tc>
          <w:tcPr>
            <w:tcW w:w="6621" w:type="dxa"/>
          </w:tcPr>
          <w:p w14:paraId="6EA28E50" w14:textId="3CB5B325" w:rsidR="007F2F89" w:rsidRPr="001809D2" w:rsidRDefault="00210DCC" w:rsidP="007F2F89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1809D2">
              <w:rPr>
                <w:b/>
                <w:noProof/>
                <w:sz w:val="44"/>
                <w:szCs w:val="44"/>
              </w:rPr>
              <w:t>CAPABILITY STATEMENT</w:t>
            </w:r>
          </w:p>
        </w:tc>
        <w:tc>
          <w:tcPr>
            <w:tcW w:w="4264" w:type="dxa"/>
            <w:tcBorders>
              <w:top w:val="nil"/>
              <w:bottom w:val="nil"/>
            </w:tcBorders>
          </w:tcPr>
          <w:p w14:paraId="2391F28A" w14:textId="31125700" w:rsidR="0020504B" w:rsidRDefault="0020504B" w:rsidP="0020504B">
            <w:r>
              <w:t>524210 – INSURANCE AGENCY</w:t>
            </w:r>
          </w:p>
          <w:p w14:paraId="6D3A742B" w14:textId="51E6EFFF" w:rsidR="007F2F89" w:rsidRDefault="0033321D" w:rsidP="0020504B">
            <w:r>
              <w:t xml:space="preserve">524114 – DENTAL INSURANCE </w:t>
            </w:r>
          </w:p>
        </w:tc>
      </w:tr>
      <w:tr w:rsidR="007F2F89" w14:paraId="41BC3449" w14:textId="77777777" w:rsidTr="0033321D">
        <w:trPr>
          <w:trHeight w:val="255"/>
        </w:trPr>
        <w:tc>
          <w:tcPr>
            <w:tcW w:w="6621" w:type="dxa"/>
          </w:tcPr>
          <w:p w14:paraId="73B817B9" w14:textId="02AFACDB" w:rsidR="007F2F89" w:rsidRDefault="007F2F89" w:rsidP="006258A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Sunshine Insurance Associates has a mission to provide service and guidance to our clients in the Group Health, Group Medicare,</w:t>
            </w:r>
            <w:r w:rsidR="00004381">
              <w:rPr>
                <w:noProof/>
                <w:sz w:val="24"/>
                <w:szCs w:val="24"/>
              </w:rPr>
              <w:t xml:space="preserve"> Individual Medicare,</w:t>
            </w:r>
            <w:r>
              <w:rPr>
                <w:noProof/>
                <w:sz w:val="24"/>
                <w:szCs w:val="24"/>
              </w:rPr>
              <w:t xml:space="preserve"> and </w:t>
            </w:r>
            <w:r w:rsidR="00FA139B">
              <w:rPr>
                <w:noProof/>
                <w:sz w:val="24"/>
                <w:szCs w:val="24"/>
              </w:rPr>
              <w:t xml:space="preserve">the </w:t>
            </w:r>
            <w:r>
              <w:rPr>
                <w:noProof/>
                <w:sz w:val="24"/>
                <w:szCs w:val="24"/>
              </w:rPr>
              <w:t xml:space="preserve">Supplemental </w:t>
            </w:r>
            <w:r w:rsidR="00210DCC">
              <w:rPr>
                <w:noProof/>
                <w:sz w:val="24"/>
                <w:szCs w:val="24"/>
              </w:rPr>
              <w:t>Insurance Plan</w:t>
            </w:r>
            <w:r>
              <w:rPr>
                <w:noProof/>
                <w:sz w:val="24"/>
                <w:szCs w:val="24"/>
              </w:rPr>
              <w:t xml:space="preserve"> Market.  Our goal is to search for alternative strategies to save our clients money.  We work with only the top </w:t>
            </w:r>
            <w:r w:rsidR="006559EE">
              <w:rPr>
                <w:noProof/>
                <w:sz w:val="24"/>
                <w:szCs w:val="24"/>
              </w:rPr>
              <w:t xml:space="preserve">“A” </w:t>
            </w:r>
            <w:r>
              <w:rPr>
                <w:noProof/>
                <w:sz w:val="24"/>
                <w:szCs w:val="24"/>
              </w:rPr>
              <w:t>rated insurance carriers in the industry.</w:t>
            </w:r>
          </w:p>
          <w:p w14:paraId="78730CD7" w14:textId="77777777" w:rsidR="007F2F89" w:rsidRDefault="007F2F89" w:rsidP="006258A3">
            <w:pPr>
              <w:rPr>
                <w:noProof/>
                <w:sz w:val="24"/>
                <w:szCs w:val="24"/>
              </w:rPr>
            </w:pPr>
          </w:p>
          <w:p w14:paraId="70C07F07" w14:textId="2355AB48" w:rsidR="007F2F89" w:rsidRDefault="007F2F89" w:rsidP="006258A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Our Agency and Agents are licensed in the State of FL with a 215 license which includes Life, Health and Annuities.  Insurance products include</w:t>
            </w:r>
            <w:r w:rsidR="001809D2">
              <w:rPr>
                <w:noProof/>
                <w:sz w:val="24"/>
                <w:szCs w:val="24"/>
              </w:rPr>
              <w:t>:</w:t>
            </w:r>
            <w:r>
              <w:rPr>
                <w:noProof/>
                <w:sz w:val="24"/>
                <w:szCs w:val="24"/>
              </w:rPr>
              <w:t xml:space="preserve"> ACA or Self Funded </w:t>
            </w:r>
            <w:r w:rsidR="00532F6B">
              <w:rPr>
                <w:noProof/>
                <w:sz w:val="24"/>
                <w:szCs w:val="24"/>
              </w:rPr>
              <w:t xml:space="preserve">Group </w:t>
            </w:r>
            <w:r>
              <w:rPr>
                <w:noProof/>
                <w:sz w:val="24"/>
                <w:szCs w:val="24"/>
              </w:rPr>
              <w:t xml:space="preserve">Health, </w:t>
            </w:r>
            <w:r w:rsidR="001809D2">
              <w:rPr>
                <w:noProof/>
                <w:sz w:val="24"/>
                <w:szCs w:val="24"/>
              </w:rPr>
              <w:t>Medicare, Dental, Vision,</w:t>
            </w:r>
            <w:r>
              <w:rPr>
                <w:noProof/>
                <w:sz w:val="24"/>
                <w:szCs w:val="24"/>
              </w:rPr>
              <w:t xml:space="preserve"> Life, and Supplemental Plans such as Hospital Indemnity, Accident </w:t>
            </w:r>
            <w:r w:rsidR="001809D2">
              <w:rPr>
                <w:noProof/>
                <w:sz w:val="24"/>
                <w:szCs w:val="24"/>
              </w:rPr>
              <w:t>&amp; AD&amp;D</w:t>
            </w:r>
            <w:r w:rsidR="00740C07">
              <w:rPr>
                <w:noProof/>
                <w:sz w:val="24"/>
                <w:szCs w:val="24"/>
              </w:rPr>
              <w:t xml:space="preserve">, Critical Illness, Cancer Cash, </w:t>
            </w:r>
            <w:r w:rsidR="005F32E7">
              <w:rPr>
                <w:noProof/>
                <w:sz w:val="24"/>
                <w:szCs w:val="24"/>
              </w:rPr>
              <w:t xml:space="preserve">Key Person Business Insurance, </w:t>
            </w:r>
            <w:r w:rsidR="00482228">
              <w:rPr>
                <w:noProof/>
                <w:sz w:val="24"/>
                <w:szCs w:val="24"/>
              </w:rPr>
              <w:t xml:space="preserve">Buy/Sell Insurance, </w:t>
            </w:r>
            <w:r w:rsidR="00740C07">
              <w:rPr>
                <w:noProof/>
                <w:sz w:val="24"/>
                <w:szCs w:val="24"/>
              </w:rPr>
              <w:t>Short Term Disability, Long Term Disability</w:t>
            </w:r>
            <w:r w:rsidR="006559EE">
              <w:rPr>
                <w:noProof/>
                <w:sz w:val="24"/>
                <w:szCs w:val="24"/>
              </w:rPr>
              <w:t xml:space="preserve">, Dental, Vision </w:t>
            </w:r>
            <w:r w:rsidR="00740C07">
              <w:rPr>
                <w:noProof/>
                <w:sz w:val="24"/>
                <w:szCs w:val="24"/>
              </w:rPr>
              <w:t xml:space="preserve"> and many other </w:t>
            </w:r>
            <w:r w:rsidR="006559EE">
              <w:rPr>
                <w:noProof/>
                <w:sz w:val="24"/>
                <w:szCs w:val="24"/>
              </w:rPr>
              <w:t>insurance offerings</w:t>
            </w:r>
            <w:r w:rsidR="00740C07">
              <w:rPr>
                <w:noProof/>
                <w:sz w:val="24"/>
                <w:szCs w:val="24"/>
              </w:rPr>
              <w:t>.</w:t>
            </w:r>
          </w:p>
          <w:p w14:paraId="23D6112D" w14:textId="77777777" w:rsidR="00740C07" w:rsidRDefault="00740C07" w:rsidP="006258A3">
            <w:pPr>
              <w:rPr>
                <w:noProof/>
                <w:sz w:val="24"/>
                <w:szCs w:val="24"/>
              </w:rPr>
            </w:pPr>
          </w:p>
          <w:p w14:paraId="1A2E055C" w14:textId="38A6CCAE" w:rsidR="00F54235" w:rsidRDefault="00740C07" w:rsidP="00894CC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Our Client Market includes all industries from Professional Work Environment Employees, to Licensed Individuals in the Construction, Plumbing, Roofing, Automotive Real Estate</w:t>
            </w:r>
            <w:r w:rsidR="00897076">
              <w:rPr>
                <w:noProof/>
                <w:sz w:val="24"/>
                <w:szCs w:val="24"/>
              </w:rPr>
              <w:t xml:space="preserve">, </w:t>
            </w:r>
            <w:r w:rsidR="00286DCC">
              <w:rPr>
                <w:noProof/>
                <w:sz w:val="24"/>
                <w:szCs w:val="24"/>
              </w:rPr>
              <w:t xml:space="preserve">or </w:t>
            </w:r>
            <w:r w:rsidR="00897076">
              <w:rPr>
                <w:noProof/>
                <w:sz w:val="24"/>
                <w:szCs w:val="24"/>
              </w:rPr>
              <w:t>Health</w:t>
            </w:r>
            <w:r>
              <w:rPr>
                <w:noProof/>
                <w:sz w:val="24"/>
                <w:szCs w:val="24"/>
              </w:rPr>
              <w:t xml:space="preserve"> Markets</w:t>
            </w:r>
            <w:r w:rsidR="006B4738">
              <w:rPr>
                <w:noProof/>
                <w:sz w:val="24"/>
                <w:szCs w:val="24"/>
              </w:rPr>
              <w:t xml:space="preserve"> and Individuals from all economic levels</w:t>
            </w:r>
            <w:r>
              <w:rPr>
                <w:noProof/>
                <w:sz w:val="24"/>
                <w:szCs w:val="24"/>
              </w:rPr>
              <w:t>.</w:t>
            </w:r>
          </w:p>
          <w:p w14:paraId="348B2952" w14:textId="2F603DC2" w:rsidR="00894CCD" w:rsidRDefault="00894CCD" w:rsidP="00894CC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bottom w:val="nil"/>
            </w:tcBorders>
          </w:tcPr>
          <w:p w14:paraId="31457B5E" w14:textId="77777777" w:rsidR="0020504B" w:rsidRDefault="0020504B" w:rsidP="0033321D">
            <w:r>
              <w:t xml:space="preserve">525120 – EMPLOYEE BENEFIT PLANS </w:t>
            </w:r>
          </w:p>
          <w:p w14:paraId="7E7C2BB9" w14:textId="1B589B2B" w:rsidR="00210DCC" w:rsidRDefault="0033321D" w:rsidP="0033321D">
            <w:r>
              <w:t>923130 – MEDICARE</w:t>
            </w:r>
          </w:p>
          <w:p w14:paraId="3B0A26BA" w14:textId="2D82657D" w:rsidR="007F2F89" w:rsidRPr="0002710F" w:rsidRDefault="001B4847" w:rsidP="001B48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2710F">
              <w:rPr>
                <w:b/>
                <w:color w:val="0070C0"/>
                <w:sz w:val="28"/>
                <w:szCs w:val="28"/>
              </w:rPr>
              <w:t>CERTIFICATIONS</w:t>
            </w:r>
          </w:p>
          <w:p w14:paraId="4432158F" w14:textId="40F75AC1" w:rsidR="001B4847" w:rsidRDefault="00090EAF" w:rsidP="006258A3">
            <w:r>
              <w:t>MNSDC</w:t>
            </w:r>
            <w:r w:rsidR="00107059">
              <w:t xml:space="preserve"> – </w:t>
            </w:r>
            <w:r>
              <w:t>MBE CERTIFIED</w:t>
            </w:r>
          </w:p>
          <w:p w14:paraId="1B6E4C5D" w14:textId="3E5C0BA6" w:rsidR="001B4847" w:rsidRDefault="00090EAF" w:rsidP="006258A3">
            <w:r>
              <w:t xml:space="preserve">FL STATE </w:t>
            </w:r>
            <w:r w:rsidR="00840619">
              <w:t>–</w:t>
            </w:r>
            <w:r>
              <w:t xml:space="preserve"> </w:t>
            </w:r>
            <w:r w:rsidR="00840619">
              <w:t>WBE</w:t>
            </w:r>
            <w:r w:rsidR="00B871F1">
              <w:t xml:space="preserve">, MBE </w:t>
            </w:r>
            <w:r w:rsidR="00840619">
              <w:t xml:space="preserve">&amp; </w:t>
            </w:r>
            <w:r>
              <w:t>CBE CERTIFIED</w:t>
            </w:r>
          </w:p>
          <w:p w14:paraId="570533B0" w14:textId="1C6A2384" w:rsidR="001B4847" w:rsidRDefault="00971964" w:rsidP="006258A3">
            <w:r>
              <w:t>Broward County School B</w:t>
            </w:r>
            <w:r w:rsidR="00B95A52">
              <w:t>D – E/S/M/WBE</w:t>
            </w:r>
          </w:p>
          <w:p w14:paraId="11BD365B" w14:textId="77777777" w:rsidR="00BD1E8B" w:rsidRDefault="00BD1E8B" w:rsidP="00F54235">
            <w:pPr>
              <w:jc w:val="center"/>
              <w:rPr>
                <w:b/>
                <w:color w:val="00A7E2"/>
                <w:sz w:val="28"/>
                <w:szCs w:val="28"/>
              </w:rPr>
            </w:pPr>
          </w:p>
          <w:p w14:paraId="6F9401D1" w14:textId="192DEBD6" w:rsidR="001B4847" w:rsidRPr="0002710F" w:rsidRDefault="001B4847" w:rsidP="00F5423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2710F">
              <w:rPr>
                <w:b/>
                <w:color w:val="0070C0"/>
                <w:sz w:val="28"/>
                <w:szCs w:val="28"/>
              </w:rPr>
              <w:t>BUSINESS REFERENCES</w:t>
            </w:r>
          </w:p>
          <w:p w14:paraId="70BE1618" w14:textId="77777777" w:rsidR="001B4847" w:rsidRDefault="001B4847" w:rsidP="006258A3">
            <w:r>
              <w:t>Business Banker:  Bank of America</w:t>
            </w:r>
          </w:p>
          <w:p w14:paraId="6FFFFD6A" w14:textId="77777777" w:rsidR="001B4847" w:rsidRDefault="001B4847" w:rsidP="006258A3">
            <w:r>
              <w:t>General Counsel: Richard Robles, Esq. PA</w:t>
            </w:r>
          </w:p>
          <w:p w14:paraId="59B11FBB" w14:textId="0113AE20" w:rsidR="001B4847" w:rsidRDefault="000F7E6E" w:rsidP="006559EE">
            <w:r>
              <w:t>Humana:  Donna Scobee</w:t>
            </w:r>
          </w:p>
          <w:p w14:paraId="41431868" w14:textId="77777777" w:rsidR="006559EE" w:rsidRDefault="006559EE" w:rsidP="006559EE">
            <w:r>
              <w:t>Colonial Life:  Donna Tilton</w:t>
            </w:r>
          </w:p>
          <w:p w14:paraId="36746090" w14:textId="039C9811" w:rsidR="00B9668F" w:rsidRDefault="00B9668F" w:rsidP="006559EE"/>
          <w:p w14:paraId="617BAE6E" w14:textId="77777777" w:rsidR="00B9668F" w:rsidRPr="0002710F" w:rsidRDefault="00B9668F" w:rsidP="00B9668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2710F">
              <w:rPr>
                <w:b/>
                <w:color w:val="0070C0"/>
                <w:sz w:val="28"/>
                <w:szCs w:val="28"/>
              </w:rPr>
              <w:t>PRIMARY CONTACT</w:t>
            </w:r>
          </w:p>
          <w:p w14:paraId="60DFA161" w14:textId="352A1634" w:rsidR="00B9668F" w:rsidRPr="00837645" w:rsidRDefault="00B9668F" w:rsidP="00B9668F">
            <w:pPr>
              <w:jc w:val="center"/>
              <w:rPr>
                <w:b/>
                <w:bCs/>
                <w:sz w:val="28"/>
                <w:szCs w:val="28"/>
              </w:rPr>
            </w:pPr>
            <w:r w:rsidRPr="00837645">
              <w:rPr>
                <w:b/>
                <w:bCs/>
                <w:sz w:val="28"/>
                <w:szCs w:val="28"/>
              </w:rPr>
              <w:t>Darlene Swaffar</w:t>
            </w:r>
          </w:p>
          <w:p w14:paraId="59BCF97E" w14:textId="3C6FAA87" w:rsidR="00B9668F" w:rsidRDefault="0020504B" w:rsidP="009975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EDD6E2" wp14:editId="5622D029">
                  <wp:extent cx="1162050" cy="1162050"/>
                  <wp:effectExtent l="0" t="0" r="0" b="0"/>
                  <wp:docPr id="3" name="Picture 3" descr="A picture containing text, person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person, posing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C07" w14:paraId="33D730C1" w14:textId="77777777" w:rsidTr="0033321D">
        <w:trPr>
          <w:trHeight w:val="255"/>
        </w:trPr>
        <w:tc>
          <w:tcPr>
            <w:tcW w:w="6621" w:type="dxa"/>
          </w:tcPr>
          <w:p w14:paraId="6C2EA25E" w14:textId="77777777" w:rsidR="00740C07" w:rsidRPr="0002710F" w:rsidRDefault="00740C07" w:rsidP="00740C07">
            <w:pPr>
              <w:jc w:val="center"/>
              <w:rPr>
                <w:b/>
                <w:noProof/>
                <w:color w:val="0070C0"/>
                <w:sz w:val="28"/>
                <w:szCs w:val="28"/>
              </w:rPr>
            </w:pPr>
            <w:r w:rsidRPr="0002710F">
              <w:rPr>
                <w:b/>
                <w:noProof/>
                <w:color w:val="0070C0"/>
                <w:sz w:val="28"/>
                <w:szCs w:val="28"/>
              </w:rPr>
              <w:t>DIFFERENTIATORS &amp; CORE COMPETENCIES</w:t>
            </w:r>
          </w:p>
        </w:tc>
        <w:tc>
          <w:tcPr>
            <w:tcW w:w="4264" w:type="dxa"/>
            <w:tcBorders>
              <w:top w:val="nil"/>
              <w:bottom w:val="nil"/>
            </w:tcBorders>
          </w:tcPr>
          <w:p w14:paraId="5417E5C9" w14:textId="2B795CEF" w:rsidR="00740C07" w:rsidRPr="00E4758D" w:rsidRDefault="00740C07" w:rsidP="006258A3">
            <w:pPr>
              <w:rPr>
                <w:sz w:val="24"/>
                <w:szCs w:val="24"/>
              </w:rPr>
            </w:pPr>
          </w:p>
        </w:tc>
      </w:tr>
      <w:tr w:rsidR="00740C07" w14:paraId="30226542" w14:textId="77777777" w:rsidTr="007D0CD5">
        <w:trPr>
          <w:trHeight w:val="3527"/>
        </w:trPr>
        <w:tc>
          <w:tcPr>
            <w:tcW w:w="6621" w:type="dxa"/>
            <w:tcBorders>
              <w:bottom w:val="single" w:sz="4" w:space="0" w:color="auto"/>
            </w:tcBorders>
          </w:tcPr>
          <w:p w14:paraId="3B4E345C" w14:textId="77777777" w:rsidR="006559EE" w:rsidRDefault="001B4847" w:rsidP="006559EE">
            <w:pPr>
              <w:pStyle w:val="ListParagraph"/>
              <w:numPr>
                <w:ilvl w:val="0"/>
                <w:numId w:val="1"/>
              </w:numPr>
              <w:ind w:left="420"/>
              <w:rPr>
                <w:noProof/>
                <w:sz w:val="24"/>
                <w:szCs w:val="24"/>
              </w:rPr>
            </w:pPr>
            <w:r w:rsidRPr="006559EE">
              <w:rPr>
                <w:noProof/>
                <w:sz w:val="24"/>
                <w:szCs w:val="24"/>
              </w:rPr>
              <w:t xml:space="preserve">With over 8 years of Human Resources experience with </w:t>
            </w:r>
            <w:r w:rsidR="006559EE">
              <w:rPr>
                <w:noProof/>
                <w:sz w:val="24"/>
                <w:szCs w:val="24"/>
              </w:rPr>
              <w:t xml:space="preserve">Recruiting and </w:t>
            </w:r>
            <w:r w:rsidRPr="006559EE">
              <w:rPr>
                <w:noProof/>
                <w:sz w:val="24"/>
                <w:szCs w:val="24"/>
              </w:rPr>
              <w:t>designing employee benefit</w:t>
            </w:r>
            <w:r w:rsidR="006559EE">
              <w:rPr>
                <w:noProof/>
                <w:sz w:val="24"/>
                <w:szCs w:val="24"/>
              </w:rPr>
              <w:t xml:space="preserve">s, I am uniquely positioned to understand the Benefits Consultant’s role.  </w:t>
            </w:r>
          </w:p>
          <w:p w14:paraId="5578641E" w14:textId="0E74EDC9" w:rsidR="00740C07" w:rsidRPr="006559EE" w:rsidRDefault="004167A5" w:rsidP="006559EE">
            <w:pPr>
              <w:pStyle w:val="ListParagraph"/>
              <w:numPr>
                <w:ilvl w:val="0"/>
                <w:numId w:val="1"/>
              </w:numPr>
              <w:ind w:left="4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07538E">
              <w:rPr>
                <w:noProof/>
                <w:sz w:val="24"/>
                <w:szCs w:val="24"/>
              </w:rPr>
              <w:t>1</w:t>
            </w:r>
            <w:r w:rsidR="001B4847" w:rsidRPr="006559EE">
              <w:rPr>
                <w:noProof/>
                <w:sz w:val="24"/>
                <w:szCs w:val="24"/>
              </w:rPr>
              <w:t xml:space="preserve"> years of Insurance Industry experience</w:t>
            </w:r>
            <w:r w:rsidR="006559EE">
              <w:rPr>
                <w:noProof/>
                <w:sz w:val="24"/>
                <w:szCs w:val="24"/>
              </w:rPr>
              <w:t xml:space="preserve"> with Group Supplemental, Medicare, Life Insurance and Annuities.</w:t>
            </w:r>
          </w:p>
          <w:p w14:paraId="2624941D" w14:textId="33431494" w:rsidR="001B4847" w:rsidRDefault="001B4847" w:rsidP="006559EE">
            <w:pPr>
              <w:pStyle w:val="ListParagraph"/>
              <w:numPr>
                <w:ilvl w:val="0"/>
                <w:numId w:val="1"/>
              </w:numPr>
              <w:ind w:left="420"/>
              <w:rPr>
                <w:noProof/>
                <w:sz w:val="24"/>
                <w:szCs w:val="24"/>
              </w:rPr>
            </w:pPr>
            <w:r w:rsidRPr="006559EE">
              <w:rPr>
                <w:noProof/>
                <w:sz w:val="24"/>
                <w:szCs w:val="24"/>
              </w:rPr>
              <w:t xml:space="preserve">We have expertise </w:t>
            </w:r>
            <w:r w:rsidR="00004381" w:rsidRPr="006559EE">
              <w:rPr>
                <w:noProof/>
                <w:sz w:val="24"/>
                <w:szCs w:val="24"/>
              </w:rPr>
              <w:t>with</w:t>
            </w:r>
            <w:r w:rsidRPr="006559EE">
              <w:rPr>
                <w:noProof/>
                <w:sz w:val="24"/>
                <w:szCs w:val="24"/>
              </w:rPr>
              <w:t xml:space="preserve"> initiating </w:t>
            </w:r>
            <w:r w:rsidR="00514D8F" w:rsidRPr="006559EE">
              <w:rPr>
                <w:noProof/>
                <w:sz w:val="24"/>
                <w:szCs w:val="24"/>
              </w:rPr>
              <w:t xml:space="preserve">Onsite Training </w:t>
            </w:r>
            <w:r w:rsidR="00514D8F">
              <w:rPr>
                <w:noProof/>
                <w:sz w:val="24"/>
                <w:szCs w:val="24"/>
              </w:rPr>
              <w:t xml:space="preserve">for </w:t>
            </w:r>
            <w:r w:rsidRPr="006559EE">
              <w:rPr>
                <w:noProof/>
                <w:sz w:val="24"/>
                <w:szCs w:val="24"/>
              </w:rPr>
              <w:t>Wellness Programs.</w:t>
            </w:r>
          </w:p>
          <w:p w14:paraId="2F794829" w14:textId="4A1E7A8B" w:rsidR="007B7949" w:rsidRPr="006559EE" w:rsidRDefault="007C72CE" w:rsidP="006559EE">
            <w:pPr>
              <w:pStyle w:val="ListParagraph"/>
              <w:numPr>
                <w:ilvl w:val="0"/>
                <w:numId w:val="1"/>
              </w:numPr>
              <w:ind w:left="4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Presentation on </w:t>
            </w:r>
            <w:r w:rsidR="007B7949">
              <w:rPr>
                <w:noProof/>
                <w:sz w:val="24"/>
                <w:szCs w:val="24"/>
              </w:rPr>
              <w:t>B</w:t>
            </w:r>
            <w:r w:rsidR="00BF2026">
              <w:rPr>
                <w:noProof/>
                <w:sz w:val="24"/>
                <w:szCs w:val="24"/>
              </w:rPr>
              <w:t>enefit</w:t>
            </w:r>
            <w:r>
              <w:rPr>
                <w:noProof/>
                <w:sz w:val="24"/>
                <w:szCs w:val="24"/>
              </w:rPr>
              <w:t>s</w:t>
            </w:r>
            <w:r w:rsidR="00BF2026">
              <w:rPr>
                <w:noProof/>
                <w:sz w:val="24"/>
                <w:szCs w:val="24"/>
              </w:rPr>
              <w:t xml:space="preserve"> Orientation and </w:t>
            </w:r>
            <w:r w:rsidR="00BA3D7E">
              <w:rPr>
                <w:noProof/>
                <w:sz w:val="24"/>
                <w:szCs w:val="24"/>
              </w:rPr>
              <w:t xml:space="preserve">Project Management for </w:t>
            </w:r>
            <w:r w:rsidR="00BF2026">
              <w:rPr>
                <w:noProof/>
                <w:sz w:val="24"/>
                <w:szCs w:val="24"/>
              </w:rPr>
              <w:t>Enrollment</w:t>
            </w:r>
            <w:r>
              <w:rPr>
                <w:noProof/>
                <w:sz w:val="24"/>
                <w:szCs w:val="24"/>
              </w:rPr>
              <w:t>s.</w:t>
            </w:r>
          </w:p>
          <w:p w14:paraId="6F7FA928" w14:textId="51D4E383" w:rsidR="001B4847" w:rsidRPr="006559EE" w:rsidRDefault="001B4847" w:rsidP="006559EE">
            <w:pPr>
              <w:pStyle w:val="ListParagraph"/>
              <w:numPr>
                <w:ilvl w:val="0"/>
                <w:numId w:val="1"/>
              </w:numPr>
              <w:ind w:left="420"/>
              <w:rPr>
                <w:noProof/>
                <w:sz w:val="24"/>
                <w:szCs w:val="24"/>
              </w:rPr>
            </w:pPr>
            <w:r w:rsidRPr="006559EE">
              <w:rPr>
                <w:noProof/>
                <w:sz w:val="24"/>
                <w:szCs w:val="24"/>
              </w:rPr>
              <w:t xml:space="preserve">As a Medicare </w:t>
            </w:r>
            <w:r w:rsidR="00210DCC" w:rsidRPr="006559EE">
              <w:rPr>
                <w:noProof/>
                <w:sz w:val="24"/>
                <w:szCs w:val="24"/>
              </w:rPr>
              <w:t xml:space="preserve">Certified </w:t>
            </w:r>
            <w:r w:rsidRPr="006559EE">
              <w:rPr>
                <w:noProof/>
                <w:sz w:val="24"/>
                <w:szCs w:val="24"/>
              </w:rPr>
              <w:t>Expert</w:t>
            </w:r>
            <w:r w:rsidR="00210DCC" w:rsidRPr="006559EE">
              <w:rPr>
                <w:noProof/>
                <w:sz w:val="24"/>
                <w:szCs w:val="24"/>
              </w:rPr>
              <w:t xml:space="preserve">, I </w:t>
            </w:r>
            <w:r w:rsidR="00004381" w:rsidRPr="006559EE">
              <w:rPr>
                <w:noProof/>
                <w:sz w:val="24"/>
                <w:szCs w:val="24"/>
              </w:rPr>
              <w:t>can</w:t>
            </w:r>
            <w:r w:rsidR="00210DCC" w:rsidRPr="006559EE">
              <w:rPr>
                <w:noProof/>
                <w:sz w:val="24"/>
                <w:szCs w:val="24"/>
              </w:rPr>
              <w:t xml:space="preserve"> </w:t>
            </w:r>
            <w:r w:rsidR="00004381" w:rsidRPr="006559EE">
              <w:rPr>
                <w:noProof/>
                <w:sz w:val="24"/>
                <w:szCs w:val="24"/>
              </w:rPr>
              <w:t xml:space="preserve">offer Medicare Educational Seminars, and </w:t>
            </w:r>
            <w:r w:rsidR="00210DCC" w:rsidRPr="006559EE">
              <w:rPr>
                <w:noProof/>
                <w:sz w:val="24"/>
                <w:szCs w:val="24"/>
              </w:rPr>
              <w:t>assist clien</w:t>
            </w:r>
            <w:r w:rsidR="00F54235" w:rsidRPr="006559EE">
              <w:rPr>
                <w:noProof/>
                <w:sz w:val="24"/>
                <w:szCs w:val="24"/>
              </w:rPr>
              <w:t>ts in transitioning their aging-</w:t>
            </w:r>
            <w:r w:rsidR="00210DCC" w:rsidRPr="006559EE">
              <w:rPr>
                <w:noProof/>
                <w:sz w:val="24"/>
                <w:szCs w:val="24"/>
              </w:rPr>
              <w:t>in employees onto Medicare plans</w:t>
            </w:r>
            <w:r w:rsidR="00B9668F">
              <w:rPr>
                <w:noProof/>
                <w:sz w:val="24"/>
                <w:szCs w:val="24"/>
              </w:rPr>
              <w:t xml:space="preserve"> thus reducing the entire groups premium </w:t>
            </w:r>
            <w:r w:rsidR="007E5213">
              <w:rPr>
                <w:noProof/>
                <w:sz w:val="24"/>
                <w:szCs w:val="24"/>
              </w:rPr>
              <w:t>costs</w:t>
            </w:r>
            <w:r w:rsidR="00210DCC" w:rsidRPr="006559EE">
              <w:rPr>
                <w:noProof/>
                <w:sz w:val="24"/>
                <w:szCs w:val="24"/>
              </w:rPr>
              <w:t>.</w:t>
            </w:r>
          </w:p>
          <w:p w14:paraId="0C1DE48D" w14:textId="408DD13B" w:rsidR="00210DCC" w:rsidRPr="006559EE" w:rsidRDefault="00BE40B1" w:rsidP="00BE40B1">
            <w:pPr>
              <w:pStyle w:val="ListParagraph"/>
              <w:numPr>
                <w:ilvl w:val="0"/>
                <w:numId w:val="1"/>
              </w:numPr>
              <w:ind w:left="4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$2,000,000 General Liability Insurance</w:t>
            </w:r>
            <w:r>
              <w:rPr>
                <w:noProof/>
                <w:sz w:val="24"/>
                <w:szCs w:val="24"/>
              </w:rPr>
              <w:br/>
              <w:t>$1,000,000 Errors &amp; Ommissions Liability Insurance</w:t>
            </w:r>
          </w:p>
        </w:tc>
        <w:tc>
          <w:tcPr>
            <w:tcW w:w="4264" w:type="dxa"/>
            <w:tcBorders>
              <w:top w:val="nil"/>
              <w:bottom w:val="single" w:sz="4" w:space="0" w:color="auto"/>
            </w:tcBorders>
          </w:tcPr>
          <w:p w14:paraId="7662E7E9" w14:textId="77777777" w:rsidR="001B4847" w:rsidRPr="00C056CD" w:rsidRDefault="001B4847" w:rsidP="001B4847">
            <w:pPr>
              <w:rPr>
                <w:rFonts w:eastAsiaTheme="minorEastAsia"/>
                <w:noProof/>
                <w:sz w:val="24"/>
                <w:szCs w:val="24"/>
              </w:rPr>
            </w:pPr>
            <w:r w:rsidRPr="00C056CD">
              <w:rPr>
                <w:rFonts w:eastAsiaTheme="minorEastAsia"/>
                <w:b/>
                <w:bCs/>
                <w:noProof/>
                <w:sz w:val="24"/>
                <w:szCs w:val="24"/>
              </w:rPr>
              <w:t>Office</w:t>
            </w:r>
            <w:r w:rsidRPr="00C056CD">
              <w:rPr>
                <w:rFonts w:eastAsiaTheme="minorEastAsia"/>
                <w:noProof/>
                <w:sz w:val="24"/>
                <w:szCs w:val="24"/>
              </w:rPr>
              <w:t>:  754-444-2782 or 561-444-9530</w:t>
            </w:r>
          </w:p>
          <w:p w14:paraId="4B67CA62" w14:textId="7A432DBF" w:rsidR="001B4847" w:rsidRPr="001B4847" w:rsidRDefault="001B4847" w:rsidP="001B4847">
            <w:pPr>
              <w:rPr>
                <w:rFonts w:eastAsiaTheme="minorEastAsia"/>
                <w:noProof/>
                <w:sz w:val="24"/>
                <w:szCs w:val="24"/>
              </w:rPr>
            </w:pPr>
            <w:r w:rsidRPr="00C056CD">
              <w:rPr>
                <w:rFonts w:eastAsiaTheme="minorEastAsia"/>
                <w:b/>
                <w:bCs/>
                <w:noProof/>
                <w:sz w:val="24"/>
                <w:szCs w:val="24"/>
              </w:rPr>
              <w:t>Cell</w:t>
            </w:r>
            <w:r w:rsidR="00C056CD">
              <w:rPr>
                <w:rFonts w:eastAsiaTheme="minorEastAsia"/>
                <w:b/>
                <w:bCs/>
                <w:noProof/>
                <w:sz w:val="24"/>
                <w:szCs w:val="24"/>
              </w:rPr>
              <w:t>:</w:t>
            </w:r>
            <w:r w:rsidRPr="001B4847">
              <w:rPr>
                <w:rFonts w:eastAsiaTheme="minorEastAsia"/>
                <w:noProof/>
                <w:sz w:val="24"/>
                <w:szCs w:val="24"/>
              </w:rPr>
              <w:t xml:space="preserve"> 786-208-1221</w:t>
            </w:r>
            <w:r w:rsidR="009B2AF5">
              <w:rPr>
                <w:rFonts w:eastAsiaTheme="minorEastAsia"/>
                <w:noProof/>
                <w:sz w:val="24"/>
                <w:szCs w:val="24"/>
              </w:rPr>
              <w:t xml:space="preserve">  </w:t>
            </w:r>
            <w:r w:rsidR="009B2AF5" w:rsidRPr="00C056CD">
              <w:rPr>
                <w:rFonts w:eastAsiaTheme="minorEastAsia"/>
                <w:b/>
                <w:bCs/>
                <w:noProof/>
                <w:sz w:val="24"/>
                <w:szCs w:val="24"/>
              </w:rPr>
              <w:t>Fax</w:t>
            </w:r>
            <w:r w:rsidR="00C056CD">
              <w:rPr>
                <w:rFonts w:eastAsiaTheme="minorEastAsia"/>
                <w:b/>
                <w:bCs/>
                <w:noProof/>
                <w:sz w:val="24"/>
                <w:szCs w:val="24"/>
              </w:rPr>
              <w:t>:</w:t>
            </w:r>
            <w:r w:rsidR="009B2AF5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="00837645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="009B2AF5">
              <w:rPr>
                <w:rFonts w:eastAsiaTheme="minorEastAsia"/>
                <w:noProof/>
                <w:sz w:val="24"/>
                <w:szCs w:val="24"/>
              </w:rPr>
              <w:t>754-600-5959</w:t>
            </w:r>
          </w:p>
          <w:p w14:paraId="67CBEB70" w14:textId="3CDD72F5" w:rsidR="001B4847" w:rsidRDefault="009B2AF5" w:rsidP="001B4847">
            <w:pPr>
              <w:rPr>
                <w:rFonts w:eastAsiaTheme="minorEastAsia"/>
                <w:noProof/>
                <w:sz w:val="24"/>
                <w:szCs w:val="24"/>
              </w:rPr>
            </w:pPr>
            <w:r w:rsidRPr="00837645">
              <w:rPr>
                <w:rFonts w:eastAsiaTheme="minorEastAsia"/>
                <w:b/>
                <w:bCs/>
                <w:noProof/>
                <w:sz w:val="24"/>
                <w:szCs w:val="24"/>
              </w:rPr>
              <w:t>Facebook</w:t>
            </w:r>
            <w:r w:rsidR="000F7E6E" w:rsidRPr="00837645">
              <w:rPr>
                <w:rFonts w:eastAsiaTheme="minorEastAsia"/>
                <w:b/>
                <w:bCs/>
                <w:noProof/>
                <w:sz w:val="24"/>
                <w:szCs w:val="24"/>
              </w:rPr>
              <w:t xml:space="preserve"> &amp; Twitter</w:t>
            </w:r>
            <w:r w:rsidR="001B4847" w:rsidRPr="001B4847">
              <w:rPr>
                <w:rFonts w:eastAsiaTheme="minorEastAsia"/>
                <w:noProof/>
                <w:sz w:val="24"/>
                <w:szCs w:val="24"/>
              </w:rPr>
              <w:t xml:space="preserve">:  </w:t>
            </w:r>
            <w:r>
              <w:rPr>
                <w:rFonts w:eastAsiaTheme="minorEastAsia"/>
                <w:noProof/>
                <w:sz w:val="24"/>
                <w:szCs w:val="24"/>
              </w:rPr>
              <w:t>@medicarelady</w:t>
            </w:r>
          </w:p>
          <w:p w14:paraId="3F4F815D" w14:textId="042431A8" w:rsidR="00BC66F9" w:rsidRDefault="001B4847" w:rsidP="00BC66F9">
            <w:pPr>
              <w:rPr>
                <w:rFonts w:eastAsiaTheme="minorEastAsia"/>
                <w:noProof/>
                <w:sz w:val="24"/>
                <w:szCs w:val="24"/>
              </w:rPr>
            </w:pPr>
            <w:r w:rsidRPr="00837645">
              <w:rPr>
                <w:rFonts w:eastAsiaTheme="minorEastAsia"/>
                <w:b/>
                <w:bCs/>
                <w:noProof/>
                <w:sz w:val="24"/>
                <w:szCs w:val="24"/>
              </w:rPr>
              <w:t>Email:</w:t>
            </w:r>
            <w:r>
              <w:rPr>
                <w:rFonts w:eastAsiaTheme="minorEastAsia"/>
                <w:noProof/>
                <w:sz w:val="24"/>
                <w:szCs w:val="24"/>
              </w:rPr>
              <w:t xml:space="preserve">  </w:t>
            </w:r>
            <w:r w:rsidR="0020504B">
              <w:t>darleneswaffar@gmail.com</w:t>
            </w:r>
          </w:p>
          <w:p w14:paraId="25165A42" w14:textId="50DA23E3" w:rsidR="00F54235" w:rsidRPr="0002710F" w:rsidRDefault="00F54235" w:rsidP="001B4847">
            <w:pPr>
              <w:rPr>
                <w:rFonts w:eastAsiaTheme="minorEastAsia"/>
                <w:noProof/>
                <w:color w:val="0070C0"/>
                <w:sz w:val="24"/>
                <w:szCs w:val="24"/>
              </w:rPr>
            </w:pPr>
            <w:r w:rsidRPr="00F54235">
              <w:rPr>
                <w:rFonts w:eastAsiaTheme="minorEastAsia"/>
                <w:noProof/>
                <w:sz w:val="24"/>
                <w:szCs w:val="24"/>
              </w:rPr>
              <w:t xml:space="preserve">To schedule an appointment </w:t>
            </w:r>
            <w:r w:rsidR="00562FF2">
              <w:rPr>
                <w:rFonts w:eastAsiaTheme="minorEastAsia"/>
                <w:noProof/>
                <w:sz w:val="24"/>
                <w:szCs w:val="24"/>
              </w:rPr>
              <w:t xml:space="preserve">follow: </w:t>
            </w:r>
            <w:hyperlink r:id="rId7" w:history="1">
              <w:r w:rsidRPr="0002710F">
                <w:rPr>
                  <w:rStyle w:val="Hyperlink"/>
                  <w:rFonts w:eastAsiaTheme="minorEastAsia"/>
                  <w:noProof/>
                  <w:color w:val="0070C0"/>
                  <w:sz w:val="24"/>
                  <w:szCs w:val="24"/>
                </w:rPr>
                <w:t>www.calendly.com/dswaffar</w:t>
              </w:r>
            </w:hyperlink>
            <w:r w:rsidRPr="0002710F">
              <w:rPr>
                <w:rFonts w:eastAsiaTheme="minorEastAsia"/>
                <w:noProof/>
                <w:color w:val="0070C0"/>
                <w:sz w:val="24"/>
                <w:szCs w:val="24"/>
              </w:rPr>
              <w:t xml:space="preserve"> </w:t>
            </w:r>
          </w:p>
          <w:p w14:paraId="1342A73A" w14:textId="5ACF0120" w:rsidR="00B9668F" w:rsidRPr="0002710F" w:rsidRDefault="00DD4845" w:rsidP="001B4847">
            <w:pPr>
              <w:rPr>
                <w:rFonts w:eastAsiaTheme="minorEastAsia"/>
                <w:noProof/>
                <w:color w:val="0070C0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 xml:space="preserve">Reviews:  </w:t>
            </w:r>
            <w:hyperlink r:id="rId8" w:history="1">
              <w:r w:rsidRPr="0002710F">
                <w:rPr>
                  <w:rStyle w:val="Hyperlink"/>
                  <w:rFonts w:eastAsiaTheme="minorEastAsia"/>
                  <w:noProof/>
                  <w:color w:val="0070C0"/>
                  <w:sz w:val="24"/>
                  <w:szCs w:val="24"/>
                </w:rPr>
                <w:t>https://birdeye.com/sunshine-insurance-associates-darlene-swaffar-aka-the-medicare-lady-154654790140049</w:t>
              </w:r>
            </w:hyperlink>
            <w:r w:rsidRPr="0002710F">
              <w:rPr>
                <w:rFonts w:eastAsiaTheme="minorEastAsia"/>
                <w:noProof/>
                <w:color w:val="0070C0"/>
                <w:sz w:val="24"/>
                <w:szCs w:val="24"/>
              </w:rPr>
              <w:t xml:space="preserve"> </w:t>
            </w:r>
          </w:p>
          <w:p w14:paraId="366DC20F" w14:textId="21A3D1F9" w:rsidR="00B9668F" w:rsidRDefault="00B9668F" w:rsidP="001B4847">
            <w:pPr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Business Tax Receipt #</w:t>
            </w:r>
            <w:r w:rsidR="000F4756">
              <w:rPr>
                <w:rFonts w:eastAsiaTheme="minorEastAsia"/>
                <w:noProof/>
                <w:sz w:val="24"/>
                <w:szCs w:val="24"/>
              </w:rPr>
              <w:t>21-00033156</w:t>
            </w:r>
          </w:p>
          <w:p w14:paraId="2D588A96" w14:textId="0697282E" w:rsidR="00B9668F" w:rsidRDefault="00B9668F" w:rsidP="001B4847">
            <w:pPr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City of</w:t>
            </w:r>
            <w:r w:rsidR="000F4756">
              <w:rPr>
                <w:rFonts w:eastAsiaTheme="minorEastAsia"/>
                <w:noProof/>
                <w:sz w:val="24"/>
                <w:szCs w:val="24"/>
              </w:rPr>
              <w:t xml:space="preserve"> Deerfield Beach</w:t>
            </w:r>
          </w:p>
          <w:p w14:paraId="4A54E068" w14:textId="62B85204" w:rsidR="00B9668F" w:rsidRDefault="00562FF2" w:rsidP="00B9668F">
            <w:pPr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 xml:space="preserve">Sunshine Insurance </w:t>
            </w:r>
            <w:r w:rsidR="00B9668F">
              <w:rPr>
                <w:rFonts w:eastAsiaTheme="minorEastAsia"/>
                <w:noProof/>
                <w:sz w:val="24"/>
                <w:szCs w:val="24"/>
              </w:rPr>
              <w:t xml:space="preserve">Agency </w:t>
            </w:r>
            <w:r>
              <w:rPr>
                <w:rFonts w:eastAsiaTheme="minorEastAsia"/>
                <w:noProof/>
                <w:sz w:val="24"/>
                <w:szCs w:val="24"/>
              </w:rPr>
              <w:br/>
            </w:r>
            <w:r w:rsidR="00B9668F">
              <w:rPr>
                <w:rFonts w:eastAsiaTheme="minorEastAsia"/>
                <w:noProof/>
                <w:sz w:val="24"/>
                <w:szCs w:val="24"/>
              </w:rPr>
              <w:t>License #L099497</w:t>
            </w:r>
          </w:p>
          <w:p w14:paraId="3BC837E1" w14:textId="77777777" w:rsidR="00B9668F" w:rsidRDefault="00B9668F" w:rsidP="00B9668F">
            <w:pPr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Invidivual FL 215 License #W016461</w:t>
            </w:r>
          </w:p>
          <w:p w14:paraId="71D5BF8C" w14:textId="0B14792D" w:rsidR="00436409" w:rsidRPr="00F54235" w:rsidRDefault="00436409" w:rsidP="00B9668F">
            <w:pPr>
              <w:rPr>
                <w:rFonts w:eastAsiaTheme="minorEastAsia"/>
                <w:noProof/>
                <w:sz w:val="24"/>
                <w:szCs w:val="24"/>
              </w:rPr>
            </w:pPr>
            <w:r w:rsidRPr="00E4758D">
              <w:rPr>
                <w:sz w:val="24"/>
                <w:szCs w:val="24"/>
              </w:rPr>
              <w:t>Date Incorporated:  05/15/17</w:t>
            </w:r>
          </w:p>
        </w:tc>
      </w:tr>
    </w:tbl>
    <w:p w14:paraId="6E857180" w14:textId="77777777" w:rsidR="00932CCD" w:rsidRDefault="00932CCD" w:rsidP="00932CCD">
      <w:pPr>
        <w:jc w:val="center"/>
      </w:pPr>
      <w:r>
        <w:rPr>
          <w:noProof/>
        </w:rPr>
        <w:lastRenderedPageBreak/>
        <w:drawing>
          <wp:inline distT="0" distB="0" distL="0" distR="0" wp14:anchorId="3A2632F7" wp14:editId="78BAA527">
            <wp:extent cx="4362450" cy="9499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hine Insurance Logo - Full Color 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749" cy="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753E" w14:textId="77777777" w:rsidR="00932CCD" w:rsidRDefault="00932CCD" w:rsidP="00932CCD">
      <w:pPr>
        <w:ind w:left="720"/>
      </w:pPr>
    </w:p>
    <w:p w14:paraId="274E5F85" w14:textId="126B7B62" w:rsidR="00932CCD" w:rsidRPr="00707561" w:rsidRDefault="0052474F" w:rsidP="00932CCD">
      <w:pPr>
        <w:ind w:left="720"/>
        <w:rPr>
          <w:b/>
          <w:sz w:val="28"/>
          <w:szCs w:val="28"/>
        </w:rPr>
      </w:pPr>
      <w:r w:rsidRPr="00707561">
        <w:rPr>
          <w:b/>
          <w:sz w:val="28"/>
          <w:szCs w:val="28"/>
        </w:rPr>
        <w:t>Contract Services Available:</w:t>
      </w:r>
    </w:p>
    <w:p w14:paraId="40691440" w14:textId="45282C1E" w:rsidR="0052474F" w:rsidRPr="00707561" w:rsidRDefault="0052474F" w:rsidP="007075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561">
        <w:rPr>
          <w:sz w:val="28"/>
          <w:szCs w:val="28"/>
        </w:rPr>
        <w:t>Agent of Record</w:t>
      </w:r>
    </w:p>
    <w:p w14:paraId="3131562A" w14:textId="4799F0D7" w:rsidR="00F333DA" w:rsidRPr="00707561" w:rsidRDefault="00F333DA" w:rsidP="007075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561">
        <w:rPr>
          <w:sz w:val="28"/>
          <w:szCs w:val="28"/>
        </w:rPr>
        <w:t>Explanation of Benefits</w:t>
      </w:r>
    </w:p>
    <w:p w14:paraId="452DB36C" w14:textId="6E1FA510" w:rsidR="0052474F" w:rsidRPr="00707561" w:rsidRDefault="0052474F" w:rsidP="007075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561">
        <w:rPr>
          <w:sz w:val="28"/>
          <w:szCs w:val="28"/>
        </w:rPr>
        <w:t>Benefits Orientation &amp; Roll Out</w:t>
      </w:r>
    </w:p>
    <w:p w14:paraId="4F0C4256" w14:textId="77B945C3" w:rsidR="0052474F" w:rsidRPr="00707561" w:rsidRDefault="0052474F" w:rsidP="007075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561">
        <w:rPr>
          <w:sz w:val="28"/>
          <w:szCs w:val="28"/>
        </w:rPr>
        <w:t>Onsite Wellness</w:t>
      </w:r>
      <w:r w:rsidR="00F333DA" w:rsidRPr="00707561">
        <w:rPr>
          <w:sz w:val="28"/>
          <w:szCs w:val="28"/>
        </w:rPr>
        <w:t xml:space="preserve"> Orientation and Goal Setting</w:t>
      </w:r>
    </w:p>
    <w:p w14:paraId="19B64BFE" w14:textId="006B040C" w:rsidR="00F333DA" w:rsidRPr="00707561" w:rsidRDefault="00F333DA" w:rsidP="007075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561">
        <w:rPr>
          <w:sz w:val="28"/>
          <w:szCs w:val="28"/>
        </w:rPr>
        <w:t>New Hire Benefits Orientation</w:t>
      </w:r>
    </w:p>
    <w:p w14:paraId="07BCBEEB" w14:textId="3CBA3464" w:rsidR="00F333DA" w:rsidRPr="00707561" w:rsidRDefault="005E695F" w:rsidP="007075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561">
        <w:rPr>
          <w:sz w:val="28"/>
          <w:szCs w:val="28"/>
        </w:rPr>
        <w:t>Benefits Enrollment for both Group Health and Supplemental Insurance</w:t>
      </w:r>
    </w:p>
    <w:p w14:paraId="4E78C4CE" w14:textId="0E76F266" w:rsidR="00E0291F" w:rsidRPr="00707561" w:rsidRDefault="00E0291F" w:rsidP="007075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561">
        <w:rPr>
          <w:sz w:val="28"/>
          <w:szCs w:val="28"/>
        </w:rPr>
        <w:t>Medicare Educational Seminars</w:t>
      </w:r>
    </w:p>
    <w:p w14:paraId="043DDEAB" w14:textId="759EF357" w:rsidR="004B3731" w:rsidRPr="00707561" w:rsidRDefault="004B3731" w:rsidP="007075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561">
        <w:rPr>
          <w:sz w:val="28"/>
          <w:szCs w:val="28"/>
        </w:rPr>
        <w:t>Medicare Sales Seminars</w:t>
      </w:r>
    </w:p>
    <w:p w14:paraId="2058B25A" w14:textId="4BF1A09B" w:rsidR="00E0291F" w:rsidRPr="00707561" w:rsidRDefault="00E0291F" w:rsidP="007075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561">
        <w:rPr>
          <w:sz w:val="28"/>
          <w:szCs w:val="28"/>
        </w:rPr>
        <w:t>Medicare Benefits Enrollment</w:t>
      </w:r>
    </w:p>
    <w:p w14:paraId="660DA687" w14:textId="77777777" w:rsidR="005E695F" w:rsidRPr="00707561" w:rsidRDefault="005E695F" w:rsidP="00932CCD">
      <w:pPr>
        <w:ind w:left="720"/>
        <w:rPr>
          <w:sz w:val="28"/>
          <w:szCs w:val="28"/>
        </w:rPr>
      </w:pPr>
    </w:p>
    <w:p w14:paraId="4C8C8070" w14:textId="1FA43A5E" w:rsidR="00F333DA" w:rsidRPr="00707561" w:rsidRDefault="00BF568D" w:rsidP="00932CCD">
      <w:pPr>
        <w:ind w:left="720"/>
        <w:rPr>
          <w:b/>
          <w:sz w:val="28"/>
          <w:szCs w:val="28"/>
        </w:rPr>
      </w:pPr>
      <w:r w:rsidRPr="00707561">
        <w:rPr>
          <w:b/>
          <w:sz w:val="28"/>
          <w:szCs w:val="28"/>
        </w:rPr>
        <w:t xml:space="preserve">Compensation </w:t>
      </w:r>
      <w:r w:rsidR="00D308C4" w:rsidRPr="00707561">
        <w:rPr>
          <w:b/>
          <w:sz w:val="28"/>
          <w:szCs w:val="28"/>
        </w:rPr>
        <w:t xml:space="preserve">is paid either through Insurance Carriers </w:t>
      </w:r>
      <w:r w:rsidR="00AD1AD8" w:rsidRPr="00707561">
        <w:rPr>
          <w:b/>
          <w:sz w:val="28"/>
          <w:szCs w:val="28"/>
        </w:rPr>
        <w:t xml:space="preserve">for AOR services, </w:t>
      </w:r>
      <w:r w:rsidR="00D308C4" w:rsidRPr="00707561">
        <w:rPr>
          <w:b/>
          <w:sz w:val="28"/>
          <w:szCs w:val="28"/>
        </w:rPr>
        <w:t>or at a rate of $125 to $150 per hour</w:t>
      </w:r>
      <w:r w:rsidR="00AD1AD8" w:rsidRPr="00707561">
        <w:rPr>
          <w:b/>
          <w:sz w:val="28"/>
          <w:szCs w:val="28"/>
        </w:rPr>
        <w:t xml:space="preserve"> for Consulting Services and Seminars</w:t>
      </w:r>
      <w:r w:rsidR="00D308C4" w:rsidRPr="00707561">
        <w:rPr>
          <w:b/>
          <w:sz w:val="28"/>
          <w:szCs w:val="28"/>
        </w:rPr>
        <w:t>.</w:t>
      </w:r>
    </w:p>
    <w:p w14:paraId="409EF2B4" w14:textId="77777777" w:rsidR="00932CCD" w:rsidRPr="00707561" w:rsidRDefault="00932CCD" w:rsidP="00932CCD">
      <w:pPr>
        <w:ind w:left="720"/>
        <w:rPr>
          <w:sz w:val="28"/>
          <w:szCs w:val="28"/>
        </w:rPr>
      </w:pPr>
    </w:p>
    <w:sectPr w:rsidR="00932CCD" w:rsidRPr="00707561" w:rsidSect="006559E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12B9A"/>
    <w:multiLevelType w:val="hybridMultilevel"/>
    <w:tmpl w:val="E0C2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04A18"/>
    <w:multiLevelType w:val="hybridMultilevel"/>
    <w:tmpl w:val="99468D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A3"/>
    <w:rsid w:val="00004381"/>
    <w:rsid w:val="0002710F"/>
    <w:rsid w:val="00033BC0"/>
    <w:rsid w:val="0007538E"/>
    <w:rsid w:val="00090EAF"/>
    <w:rsid w:val="000B2A4E"/>
    <w:rsid w:val="000F4756"/>
    <w:rsid w:val="000F7E6E"/>
    <w:rsid w:val="000F7EE7"/>
    <w:rsid w:val="00107059"/>
    <w:rsid w:val="00163A4C"/>
    <w:rsid w:val="001770BB"/>
    <w:rsid w:val="001809D2"/>
    <w:rsid w:val="001B4847"/>
    <w:rsid w:val="0020504B"/>
    <w:rsid w:val="00210DCC"/>
    <w:rsid w:val="00286DCC"/>
    <w:rsid w:val="0033321D"/>
    <w:rsid w:val="00333A7F"/>
    <w:rsid w:val="00352225"/>
    <w:rsid w:val="003B498A"/>
    <w:rsid w:val="004167A5"/>
    <w:rsid w:val="00436409"/>
    <w:rsid w:val="00447380"/>
    <w:rsid w:val="00460408"/>
    <w:rsid w:val="00482228"/>
    <w:rsid w:val="004B3731"/>
    <w:rsid w:val="00514D8F"/>
    <w:rsid w:val="0052474F"/>
    <w:rsid w:val="00532F6B"/>
    <w:rsid w:val="00562FF2"/>
    <w:rsid w:val="0057578B"/>
    <w:rsid w:val="005B217A"/>
    <w:rsid w:val="005E0938"/>
    <w:rsid w:val="005E695F"/>
    <w:rsid w:val="005F32E7"/>
    <w:rsid w:val="0062568D"/>
    <w:rsid w:val="006258A3"/>
    <w:rsid w:val="006559EE"/>
    <w:rsid w:val="006B2181"/>
    <w:rsid w:val="006B4738"/>
    <w:rsid w:val="00707561"/>
    <w:rsid w:val="00740C07"/>
    <w:rsid w:val="00745AAA"/>
    <w:rsid w:val="007B7949"/>
    <w:rsid w:val="007C2406"/>
    <w:rsid w:val="007C72CE"/>
    <w:rsid w:val="007D0CD5"/>
    <w:rsid w:val="007E5213"/>
    <w:rsid w:val="007F2F89"/>
    <w:rsid w:val="00805769"/>
    <w:rsid w:val="00835448"/>
    <w:rsid w:val="00837645"/>
    <w:rsid w:val="00840619"/>
    <w:rsid w:val="00894CCD"/>
    <w:rsid w:val="00897076"/>
    <w:rsid w:val="00932CCD"/>
    <w:rsid w:val="00971964"/>
    <w:rsid w:val="0099758A"/>
    <w:rsid w:val="009B2AF5"/>
    <w:rsid w:val="00AD1AD8"/>
    <w:rsid w:val="00B370D9"/>
    <w:rsid w:val="00B871F1"/>
    <w:rsid w:val="00B95A52"/>
    <w:rsid w:val="00B9668F"/>
    <w:rsid w:val="00BA3D7E"/>
    <w:rsid w:val="00BC66F9"/>
    <w:rsid w:val="00BD1E8B"/>
    <w:rsid w:val="00BE40B1"/>
    <w:rsid w:val="00BF2026"/>
    <w:rsid w:val="00BF3988"/>
    <w:rsid w:val="00BF52D0"/>
    <w:rsid w:val="00BF568D"/>
    <w:rsid w:val="00C056CD"/>
    <w:rsid w:val="00CC5B1D"/>
    <w:rsid w:val="00D308C4"/>
    <w:rsid w:val="00DD4845"/>
    <w:rsid w:val="00E01B2F"/>
    <w:rsid w:val="00E0291F"/>
    <w:rsid w:val="00E1578A"/>
    <w:rsid w:val="00E230B7"/>
    <w:rsid w:val="00E4758D"/>
    <w:rsid w:val="00EB4716"/>
    <w:rsid w:val="00F333DA"/>
    <w:rsid w:val="00F54235"/>
    <w:rsid w:val="00FA139B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048B"/>
  <w15:chartTrackingRefBased/>
  <w15:docId w15:val="{D696FD36-866B-41E6-8837-FFDAF7F2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4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84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deye.com/sunshine-insurance-associates-darlene-swaffar-aka-the-medicare-lady-154654790140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ly.com/dswaff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Swaffar</dc:creator>
  <cp:keywords/>
  <dc:description/>
  <cp:lastModifiedBy>Darlene Swaffar</cp:lastModifiedBy>
  <cp:revision>75</cp:revision>
  <cp:lastPrinted>2019-03-04T02:43:00Z</cp:lastPrinted>
  <dcterms:created xsi:type="dcterms:W3CDTF">2017-08-22T21:33:00Z</dcterms:created>
  <dcterms:modified xsi:type="dcterms:W3CDTF">2021-01-30T22:21:00Z</dcterms:modified>
</cp:coreProperties>
</file>